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B8" w:rsidRPr="00E43688" w:rsidRDefault="003426B8" w:rsidP="003426B8">
      <w:pPr>
        <w:spacing w:after="0" w:line="240" w:lineRule="auto"/>
        <w:rPr>
          <w:rFonts w:eastAsia="Times New Roman"/>
          <w:b/>
          <w:szCs w:val="20"/>
          <w:lang w:eastAsia="nl-NL"/>
        </w:rPr>
      </w:pPr>
      <w:r>
        <w:rPr>
          <w:rFonts w:eastAsia="Times New Roman"/>
          <w:b/>
          <w:szCs w:val="20"/>
          <w:u w:val="single"/>
          <w:lang w:eastAsia="nl-NL"/>
        </w:rPr>
        <w:t>TAAK 10B</w:t>
      </w:r>
      <w:r w:rsidRPr="00E43688">
        <w:rPr>
          <w:rFonts w:eastAsia="Times New Roman"/>
          <w:b/>
          <w:szCs w:val="20"/>
          <w:u w:val="single"/>
          <w:lang w:eastAsia="nl-NL"/>
        </w:rPr>
        <w:t>:</w:t>
      </w:r>
    </w:p>
    <w:p w:rsidR="003426B8" w:rsidRPr="00E43688" w:rsidRDefault="003426B8" w:rsidP="003426B8">
      <w:pPr>
        <w:spacing w:after="0" w:line="240" w:lineRule="auto"/>
        <w:rPr>
          <w:rFonts w:eastAsia="Times New Roman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88"/>
      </w:tblGrid>
      <w:tr w:rsidR="003426B8" w:rsidRPr="00E43688" w:rsidTr="00851AF8">
        <w:trPr>
          <w:cantSplit/>
        </w:trPr>
        <w:tc>
          <w:tcPr>
            <w:tcW w:w="1771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 xml:space="preserve">Soort taak </w:t>
            </w:r>
          </w:p>
        </w:tc>
        <w:tc>
          <w:tcPr>
            <w:tcW w:w="7088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Toepassingstaak</w:t>
            </w:r>
          </w:p>
        </w:tc>
      </w:tr>
      <w:tr w:rsidR="003426B8" w:rsidRPr="00E43688" w:rsidTr="00851AF8">
        <w:trPr>
          <w:cantSplit/>
        </w:trPr>
        <w:tc>
          <w:tcPr>
            <w:tcW w:w="1771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 xml:space="preserve">Titel van de taak  </w:t>
            </w:r>
          </w:p>
        </w:tc>
        <w:tc>
          <w:tcPr>
            <w:tcW w:w="7088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“Inh</w:t>
            </w:r>
            <w:bookmarkStart w:id="0" w:name="_GoBack"/>
            <w:bookmarkEnd w:id="0"/>
            <w:r w:rsidRPr="00E43688">
              <w:rPr>
                <w:rFonts w:eastAsia="Times New Roman"/>
                <w:szCs w:val="20"/>
                <w:lang w:eastAsia="nl-NL"/>
              </w:rPr>
              <w:t>aleren moet je leren”.</w:t>
            </w:r>
          </w:p>
        </w:tc>
      </w:tr>
      <w:tr w:rsidR="003426B8" w:rsidRPr="00E43688" w:rsidTr="00851AF8">
        <w:trPr>
          <w:cantSplit/>
        </w:trPr>
        <w:tc>
          <w:tcPr>
            <w:tcW w:w="1771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>Inleiding</w:t>
            </w:r>
          </w:p>
        </w:tc>
        <w:tc>
          <w:tcPr>
            <w:tcW w:w="7088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 xml:space="preserve">Je bent werkzaam als assistente in een huisartspraktijk. Instructie geven aan </w:t>
            </w:r>
            <w:proofErr w:type="spellStart"/>
            <w:r w:rsidRPr="00E43688">
              <w:rPr>
                <w:rFonts w:eastAsia="Times New Roman"/>
                <w:szCs w:val="20"/>
                <w:lang w:eastAsia="nl-NL"/>
              </w:rPr>
              <w:t>patienten</w:t>
            </w:r>
            <w:proofErr w:type="spellEnd"/>
            <w:r w:rsidRPr="00E43688">
              <w:rPr>
                <w:rFonts w:eastAsia="Times New Roman"/>
                <w:szCs w:val="20"/>
                <w:lang w:eastAsia="nl-NL"/>
              </w:rPr>
              <w:t xml:space="preserve"> met COPD over inhalatietechnieken laat de arts aan jou over, je hebt daar goede afspraken over gemaakt met de huisarts.</w:t>
            </w:r>
          </w:p>
        </w:tc>
      </w:tr>
      <w:tr w:rsidR="003426B8" w:rsidRPr="00E43688" w:rsidTr="00851AF8">
        <w:trPr>
          <w:cantSplit/>
        </w:trPr>
        <w:tc>
          <w:tcPr>
            <w:tcW w:w="1771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>Werkwijze</w:t>
            </w:r>
          </w:p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ab/>
            </w:r>
          </w:p>
        </w:tc>
        <w:tc>
          <w:tcPr>
            <w:tcW w:w="7088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Opdrachten:</w:t>
            </w:r>
          </w:p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1.   Schrijf op,  wat je de patiënt zou vertellen over:</w:t>
            </w:r>
          </w:p>
          <w:p w:rsidR="003426B8" w:rsidRPr="00E43688" w:rsidRDefault="003426B8" w:rsidP="00851AF8">
            <w:pPr>
              <w:spacing w:after="0" w:line="240" w:lineRule="auto"/>
              <w:ind w:left="360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a.   de redenen/voordelen van inhaleren</w:t>
            </w:r>
          </w:p>
          <w:p w:rsidR="003426B8" w:rsidRPr="00E43688" w:rsidRDefault="003426B8" w:rsidP="003426B8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hoe het apparaat gebruiksklaar gemaakt moet worden</w:t>
            </w:r>
          </w:p>
          <w:p w:rsidR="003426B8" w:rsidRPr="00E43688" w:rsidRDefault="003426B8" w:rsidP="003426B8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de inhalatietechniek</w:t>
            </w:r>
          </w:p>
          <w:p w:rsidR="003426B8" w:rsidRPr="00E43688" w:rsidRDefault="003426B8" w:rsidP="003426B8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de hoeveelheid medicijn (bij verstuivers)</w:t>
            </w:r>
          </w:p>
          <w:p w:rsidR="003426B8" w:rsidRPr="00E43688" w:rsidRDefault="003426B8" w:rsidP="003426B8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bewaren (bij poederinhalatoren)</w:t>
            </w:r>
          </w:p>
          <w:p w:rsidR="003426B8" w:rsidRPr="00E43688" w:rsidRDefault="003426B8" w:rsidP="003426B8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volgorde van de medicijnen</w:t>
            </w:r>
          </w:p>
          <w:p w:rsidR="003426B8" w:rsidRPr="00E43688" w:rsidRDefault="003426B8" w:rsidP="003426B8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irritatie mond en keel</w:t>
            </w:r>
          </w:p>
          <w:p w:rsidR="003426B8" w:rsidRPr="00E43688" w:rsidRDefault="003426B8" w:rsidP="003426B8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mond spoelen</w:t>
            </w:r>
          </w:p>
          <w:p w:rsidR="003426B8" w:rsidRPr="00E43688" w:rsidRDefault="003426B8" w:rsidP="003426B8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schoonmaken van inhalatieapparaten</w:t>
            </w:r>
          </w:p>
          <w:p w:rsidR="003426B8" w:rsidRPr="00E43688" w:rsidRDefault="003426B8" w:rsidP="00851AF8">
            <w:pPr>
              <w:spacing w:after="0" w:line="240" w:lineRule="auto"/>
              <w:ind w:left="360"/>
              <w:rPr>
                <w:rFonts w:eastAsia="Times New Roman"/>
                <w:szCs w:val="20"/>
                <w:lang w:eastAsia="nl-NL"/>
              </w:rPr>
            </w:pPr>
          </w:p>
          <w:p w:rsidR="003426B8" w:rsidRPr="00E43688" w:rsidRDefault="003426B8" w:rsidP="00851AF8">
            <w:pPr>
              <w:spacing w:after="0" w:line="240" w:lineRule="auto"/>
              <w:ind w:left="356" w:hanging="356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 xml:space="preserve">2.   Als assistente kan je ook op het gebied van zelfzorg een </w:t>
            </w:r>
            <w:proofErr w:type="spellStart"/>
            <w:r w:rsidRPr="00E43688">
              <w:rPr>
                <w:rFonts w:eastAsia="Times New Roman"/>
                <w:szCs w:val="20"/>
                <w:lang w:eastAsia="nl-NL"/>
              </w:rPr>
              <w:t>voorlichtersrol</w:t>
            </w:r>
            <w:proofErr w:type="spellEnd"/>
            <w:r w:rsidRPr="00E43688">
              <w:rPr>
                <w:rFonts w:eastAsia="Times New Roman"/>
                <w:szCs w:val="20"/>
                <w:lang w:eastAsia="nl-NL"/>
              </w:rPr>
              <w:t xml:space="preserve"> vervullen.</w:t>
            </w:r>
          </w:p>
          <w:p w:rsidR="003426B8" w:rsidRPr="00E43688" w:rsidRDefault="003426B8" w:rsidP="00851AF8">
            <w:pPr>
              <w:spacing w:after="0" w:line="240" w:lineRule="auto"/>
              <w:ind w:left="345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Schrijf op, welke algemene adviezen je kunt geven aan de patiënt over wat deze zelf kan doen om zo min mogelijk last te ondervinden van zijn ziekte.</w:t>
            </w:r>
          </w:p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</w:p>
          <w:p w:rsidR="003426B8" w:rsidRPr="00E43688" w:rsidRDefault="003426B8" w:rsidP="00851AF8">
            <w:pPr>
              <w:spacing w:after="0" w:line="240" w:lineRule="auto"/>
              <w:ind w:left="356" w:hanging="356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3.   Oefen daarna in drietallen, een van jullie is de patiënt, een de assistente, een observeert aan de hand van de Checklist inhalatie-instructie</w:t>
            </w:r>
          </w:p>
          <w:p w:rsidR="003426B8" w:rsidRPr="00E43688" w:rsidRDefault="003426B8" w:rsidP="003426B8">
            <w:pPr>
              <w:numPr>
                <w:ilvl w:val="0"/>
                <w:numId w:val="2"/>
              </w:numPr>
              <w:spacing w:after="0" w:line="240" w:lineRule="auto"/>
              <w:ind w:left="716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informeer de patiënt over de redenen en voordelen van inhaleren</w:t>
            </w:r>
          </w:p>
          <w:p w:rsidR="003426B8" w:rsidRPr="00E43688" w:rsidRDefault="003426B8" w:rsidP="003426B8">
            <w:pPr>
              <w:numPr>
                <w:ilvl w:val="0"/>
                <w:numId w:val="2"/>
              </w:numPr>
              <w:spacing w:after="0" w:line="240" w:lineRule="auto"/>
              <w:ind w:left="716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toon het apparaat en demonstreer hoe het gebruiksklaar gemaakt moet worden</w:t>
            </w:r>
          </w:p>
          <w:p w:rsidR="003426B8" w:rsidRPr="00E43688" w:rsidRDefault="003426B8" w:rsidP="003426B8">
            <w:pPr>
              <w:numPr>
                <w:ilvl w:val="0"/>
                <w:numId w:val="2"/>
              </w:numPr>
              <w:spacing w:after="0" w:line="240" w:lineRule="auto"/>
              <w:ind w:left="716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demonstreer de inhalatietechniek en licht toe</w:t>
            </w:r>
          </w:p>
          <w:p w:rsidR="003426B8" w:rsidRPr="00E43688" w:rsidRDefault="003426B8" w:rsidP="003426B8">
            <w:pPr>
              <w:numPr>
                <w:ilvl w:val="0"/>
                <w:numId w:val="2"/>
              </w:numPr>
              <w:spacing w:after="0" w:line="240" w:lineRule="auto"/>
              <w:ind w:left="716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laat de patiënt oefenen en geef ondersteuning</w:t>
            </w:r>
          </w:p>
          <w:p w:rsidR="003426B8" w:rsidRPr="00E43688" w:rsidRDefault="003426B8" w:rsidP="003426B8">
            <w:pPr>
              <w:numPr>
                <w:ilvl w:val="0"/>
                <w:numId w:val="2"/>
              </w:numPr>
              <w:spacing w:after="0" w:line="240" w:lineRule="auto"/>
              <w:ind w:left="716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geef de juiste informatie over de hoeveelheid (bij verstuivers), het bewaren (bij poeder-inhalatoren)en de volgorde van de medicijnen</w:t>
            </w:r>
          </w:p>
          <w:p w:rsidR="003426B8" w:rsidRPr="00E43688" w:rsidRDefault="003426B8" w:rsidP="003426B8">
            <w:pPr>
              <w:numPr>
                <w:ilvl w:val="0"/>
                <w:numId w:val="2"/>
              </w:numPr>
              <w:spacing w:after="0" w:line="240" w:lineRule="auto"/>
              <w:ind w:left="716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geef informatie hoe irritatie van mond en keel zoveel mogelijk kan worden voorkomen</w:t>
            </w:r>
          </w:p>
          <w:p w:rsidR="003426B8" w:rsidRPr="00E43688" w:rsidRDefault="003426B8" w:rsidP="003426B8">
            <w:pPr>
              <w:numPr>
                <w:ilvl w:val="0"/>
                <w:numId w:val="2"/>
              </w:numPr>
              <w:spacing w:after="0" w:line="240" w:lineRule="auto"/>
              <w:ind w:left="716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maak het apparaatje schoon</w:t>
            </w:r>
          </w:p>
          <w:p w:rsidR="003426B8" w:rsidRPr="00E43688" w:rsidRDefault="003426B8" w:rsidP="003426B8">
            <w:pPr>
              <w:numPr>
                <w:ilvl w:val="0"/>
                <w:numId w:val="2"/>
              </w:numPr>
              <w:spacing w:after="0" w:line="240" w:lineRule="auto"/>
              <w:ind w:left="716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verwijs de patiënt naar andere mogelijkheden voor informatie</w:t>
            </w:r>
          </w:p>
          <w:p w:rsidR="003426B8" w:rsidRPr="00E43688" w:rsidRDefault="003426B8" w:rsidP="00851AF8">
            <w:pPr>
              <w:spacing w:after="0" w:line="240" w:lineRule="auto"/>
              <w:ind w:left="356"/>
              <w:rPr>
                <w:rFonts w:eastAsia="Times New Roman"/>
                <w:szCs w:val="20"/>
                <w:lang w:eastAsia="nl-NL"/>
              </w:rPr>
            </w:pPr>
          </w:p>
          <w:p w:rsidR="003426B8" w:rsidRPr="00E43688" w:rsidRDefault="003426B8" w:rsidP="00851AF8">
            <w:pPr>
              <w:spacing w:after="0" w:line="240" w:lineRule="auto"/>
              <w:ind w:left="356" w:hanging="356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4.   De volgende vragen worden nogal eens gesteld, schrijf op hoe je hierop zou reageren:</w:t>
            </w:r>
          </w:p>
          <w:p w:rsidR="003426B8" w:rsidRPr="00E43688" w:rsidRDefault="003426B8" w:rsidP="003426B8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mijn kind gebruikt elke dag medicijnen, dus er zal wel gewenning gaan optreden</w:t>
            </w:r>
          </w:p>
          <w:p w:rsidR="003426B8" w:rsidRPr="00E43688" w:rsidRDefault="003426B8" w:rsidP="003426B8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deze medicijnen zijn verslavend, mijn kind moet steeds meer gebruiken</w:t>
            </w:r>
          </w:p>
        </w:tc>
      </w:tr>
      <w:tr w:rsidR="003426B8" w:rsidRPr="00E43688" w:rsidTr="00851AF8">
        <w:trPr>
          <w:cantSplit/>
        </w:trPr>
        <w:tc>
          <w:tcPr>
            <w:tcW w:w="1771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>Ondersteuning</w:t>
            </w:r>
          </w:p>
        </w:tc>
        <w:tc>
          <w:tcPr>
            <w:tcW w:w="7088" w:type="dxa"/>
          </w:tcPr>
          <w:p w:rsidR="003426B8" w:rsidRPr="00E43688" w:rsidRDefault="003426B8" w:rsidP="003426B8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Theorie over astma en COPD, ook over geneesmiddelenkennis</w:t>
            </w:r>
          </w:p>
          <w:p w:rsidR="003426B8" w:rsidRPr="00E43688" w:rsidRDefault="003426B8" w:rsidP="003426B8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 xml:space="preserve">Uitleg inhalatietechnieken (astmaconsulent, MTIH-les) </w:t>
            </w:r>
          </w:p>
        </w:tc>
      </w:tr>
      <w:tr w:rsidR="003426B8" w:rsidRPr="00E43688" w:rsidTr="00851AF8">
        <w:trPr>
          <w:cantSplit/>
          <w:trHeight w:val="246"/>
        </w:trPr>
        <w:tc>
          <w:tcPr>
            <w:tcW w:w="1771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>Media</w:t>
            </w:r>
          </w:p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</w:p>
        </w:tc>
        <w:tc>
          <w:tcPr>
            <w:tcW w:w="7088" w:type="dxa"/>
          </w:tcPr>
          <w:p w:rsidR="003426B8" w:rsidRPr="00E43688" w:rsidRDefault="003426B8" w:rsidP="003426B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NHG-Triagewijzer</w:t>
            </w:r>
          </w:p>
          <w:p w:rsidR="003426B8" w:rsidRPr="00E43688" w:rsidRDefault="003426B8" w:rsidP="003426B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Inhalatie-instructiekoffer van astmafonds</w:t>
            </w:r>
          </w:p>
          <w:p w:rsidR="003426B8" w:rsidRPr="00E43688" w:rsidRDefault="003426B8" w:rsidP="003426B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Boeken BSL: “Eigen spreekuur en chronische ziekten”</w:t>
            </w:r>
          </w:p>
          <w:p w:rsidR="003426B8" w:rsidRPr="00E43688" w:rsidRDefault="003426B8" w:rsidP="003426B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Folders</w:t>
            </w:r>
          </w:p>
          <w:p w:rsidR="003426B8" w:rsidRPr="00E43688" w:rsidRDefault="003426B8" w:rsidP="003426B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Internet</w:t>
            </w:r>
          </w:p>
        </w:tc>
      </w:tr>
      <w:tr w:rsidR="003426B8" w:rsidRPr="00E43688" w:rsidTr="00851AF8">
        <w:trPr>
          <w:cantSplit/>
        </w:trPr>
        <w:tc>
          <w:tcPr>
            <w:tcW w:w="1771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 xml:space="preserve">SBU </w:t>
            </w:r>
          </w:p>
        </w:tc>
        <w:tc>
          <w:tcPr>
            <w:tcW w:w="7088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8</w:t>
            </w:r>
          </w:p>
        </w:tc>
      </w:tr>
      <w:tr w:rsidR="003426B8" w:rsidRPr="00E43688" w:rsidTr="00851AF8">
        <w:trPr>
          <w:cantSplit/>
        </w:trPr>
        <w:tc>
          <w:tcPr>
            <w:tcW w:w="1771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 xml:space="preserve">Specificaties </w:t>
            </w:r>
          </w:p>
        </w:tc>
        <w:tc>
          <w:tcPr>
            <w:tcW w:w="7088" w:type="dxa"/>
          </w:tcPr>
          <w:p w:rsidR="003426B8" w:rsidRPr="00E43688" w:rsidRDefault="003426B8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Het verdient aanbeveling de leerlingen met verschillende inhalatoren te laten oefenen.</w:t>
            </w:r>
          </w:p>
        </w:tc>
      </w:tr>
    </w:tbl>
    <w:p w:rsidR="00453CA7" w:rsidRDefault="003426B8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62B"/>
    <w:multiLevelType w:val="singleLevel"/>
    <w:tmpl w:val="75EEBD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4C331E"/>
    <w:multiLevelType w:val="singleLevel"/>
    <w:tmpl w:val="88FCA8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897E50"/>
    <w:multiLevelType w:val="singleLevel"/>
    <w:tmpl w:val="46A0EA1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D901EF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E92CE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B8"/>
    <w:rsid w:val="003426B8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38487-8195-4806-83DF-5D3A5FF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426B8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2017-03-27T09:41:00Z</dcterms:created>
  <dcterms:modified xsi:type="dcterms:W3CDTF">2017-03-27T09:42:00Z</dcterms:modified>
</cp:coreProperties>
</file>